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spacing w:line="480" w:lineRule="auto"/>
        <w:rPr>
          <w:rFonts w:ascii="Courier" w:hAnsi="Courier" w:cs="Courier"/>
        </w:rPr>
      </w:pPr>
    </w:p>
    <w:p>
      <w:pPr>
        <w:tabs>
          <w:tab w:val="center" w:pos="4680"/>
        </w:tabs>
        <w:spacing w:line="480" w:lineRule="auto"/>
        <w:ind w:left="1440"/>
        <w:rPr>
          <w:rFonts w:ascii="Courier" w:hAnsi="Courier" w:cs="Courier"/>
        </w:rPr>
      </w:pPr>
      <w:r w:rsidR="0088364B">
        <w:rPr>
          <w:rFonts w:ascii="Courier" w:hAnsi="Courier" w:cs="Courier"/>
        </w:rPr>
        <w:tab/>
      </w:r>
      <w:r w:rsidR="0088364B">
        <w:rPr>
          <w:rFonts w:ascii="Courier" w:hAnsi="Courier" w:cs="Courier"/>
          <w:u w:val="single"/>
        </w:rPr>
        <w:t>STATUTES INVOLVED</w:t>
      </w:r>
    </w:p>
    <w:p>
      <w:pPr>
        <w:spacing w:line="480" w:lineRule="auto"/>
        <w:ind w:firstLine="720"/>
        <w:rPr>
          <w:rFonts w:ascii="Courier" w:hAnsi="Courier" w:cs="Courier"/>
        </w:rPr>
      </w:pPr>
      <w:r w:rsidR="0088364B">
        <w:rPr>
          <w:rFonts w:ascii="Courier" w:hAnsi="Courier" w:cs="Courier"/>
        </w:rPr>
        <w:t xml:space="preserve">The texts of the following statutes relevant to the determination of the present case are set forth in the Appendix: </w:t>
      </w:r>
      <w:r w:rsidR="00BC7CAD">
        <w:rPr>
          <w:rFonts w:ascii="Courier" w:hAnsi="Courier" w:cs="Courier"/>
        </w:rPr>
        <w:fldChar w:fldCharType="begin"/>
      </w:r>
      <w:r w:rsidR="0088364B">
        <w:rPr>
          <w:rFonts w:ascii="Courier" w:hAnsi="Courier" w:cs="Courier"/>
        </w:rPr>
        <w:instrText>TA \s "Utah Code Ann.§ 33-8-34 (1994)" \c 0</w:instrText>
      </w:r>
      <w:r w:rsidR="00BC7CAD">
        <w:rPr>
          <w:rFonts w:ascii="Courier" w:hAnsi="Courier" w:cs="Courier"/>
        </w:rPr>
        <w:fldChar w:fldCharType="end"/>
      </w:r>
      <w:r w:rsidR="00BC7CAD">
        <w:rPr>
          <w:rFonts w:ascii="Courier" w:hAnsi="Courier" w:cs="Courier"/>
        </w:rPr>
        <w:fldChar w:fldCharType="begin"/>
      </w:r>
      <w:r w:rsidR="0088364B">
        <w:rPr>
          <w:rFonts w:ascii="Courier" w:hAnsi="Courier" w:cs="Courier"/>
        </w:rPr>
        <w:instrText>TA \s "Utah Code Ann.§ 33-8-34 (1994)" \c 1 \l "Utah Code Ann. 33-8-34 (1994)</w:instrText>
      </w:r>
      <w:r w:rsidR="0088364B">
        <w:instrText>"</w:instrText>
      </w:r>
      <w:r w:rsidR="00BC7CAD">
        <w:rPr>
          <w:rFonts w:ascii="Courier" w:hAnsi="Courier" w:cs="Courier"/>
        </w:rPr>
        <w:fldChar w:fldCharType="end"/>
      </w:r>
      <w:r w:rsidR="0088364B">
        <w:rPr>
          <w:rFonts w:ascii="Courier" w:hAnsi="Courier" w:cs="Courier"/>
        </w:rPr>
        <w:t>Utah Code Ann.</w:t>
      </w:r>
      <w:r w:rsidR="0088364B">
        <w:rPr>
          <w:rFonts w:ascii="Courier" w:hAnsi="Courier" w:cs="Courier"/>
        </w:rPr>
        <w:sym w:font="WP TypographicSymbols" w:char="0027"/>
      </w:r>
      <w:r w:rsidR="0088364B">
        <w:rPr>
          <w:rFonts w:ascii="Courier" w:hAnsi="Courier" w:cs="Courier"/>
        </w:rPr>
        <w:t xml:space="preserve"> 33-8-34 (1994) and </w:t>
      </w:r>
      <w:r w:rsidR="00BC7CAD">
        <w:rPr>
          <w:rFonts w:ascii="Courier" w:hAnsi="Courier" w:cs="Courier"/>
        </w:rPr>
        <w:fldChar w:fldCharType="begin"/>
      </w:r>
      <w:r w:rsidR="0088364B">
        <w:rPr>
          <w:rFonts w:ascii="Courier" w:hAnsi="Courier" w:cs="Courier"/>
        </w:rPr>
        <w:instrText>TA \s "Utah Code Ann. § 33-8-35(2)" \c 1 \l "Utah Code Ann.  33-8-35(2)</w:instrText>
      </w:r>
      <w:r w:rsidR="0088364B">
        <w:instrText>"</w:instrText>
      </w:r>
      <w:r w:rsidR="00BC7CAD">
        <w:rPr>
          <w:rFonts w:ascii="Courier" w:hAnsi="Courier" w:cs="Courier"/>
        </w:rPr>
        <w:fldChar w:fldCharType="end"/>
      </w:r>
      <w:r w:rsidR="00BC7CAD">
        <w:rPr>
          <w:rFonts w:ascii="Courier" w:hAnsi="Courier" w:cs="Courier"/>
        </w:rPr>
        <w:fldChar w:fldCharType="begin"/>
      </w:r>
      <w:r w:rsidR="0088364B">
        <w:rPr>
          <w:rFonts w:ascii="Courier" w:hAnsi="Courier" w:cs="Courier"/>
        </w:rPr>
        <w:instrText>TA \s "Utah Code Ann. § 33-8-35(2) (1994)." \c 1 \l "Utah Code Ann.  33-8-35(2) (1994).</w:instrText>
      </w:r>
      <w:r w:rsidR="0088364B">
        <w:instrText>"</w:instrText>
      </w:r>
      <w:r w:rsidR="00BC7CAD">
        <w:rPr>
          <w:rFonts w:ascii="Courier" w:hAnsi="Courier" w:cs="Courier"/>
        </w:rPr>
        <w:fldChar w:fldCharType="end"/>
      </w:r>
      <w:r w:rsidR="00BC7CAD">
        <w:rPr>
          <w:rFonts w:ascii="Courier" w:hAnsi="Courier" w:cs="Courier"/>
        </w:rPr>
        <w:fldChar w:fldCharType="begin"/>
      </w:r>
      <w:r w:rsidR="0088364B">
        <w:rPr>
          <w:rFonts w:ascii="Courier" w:hAnsi="Courier" w:cs="Courier"/>
        </w:rPr>
        <w:instrText>TA \s "Utah Code Ann. § 33-8-35(2) (1994)." \c 1</w:instrText>
      </w:r>
      <w:r w:rsidR="00BC7CAD">
        <w:rPr>
          <w:rFonts w:ascii="Courier" w:hAnsi="Courier" w:cs="Courier"/>
        </w:rPr>
        <w:fldChar w:fldCharType="end"/>
      </w:r>
      <w:r w:rsidR="0088364B">
        <w:rPr>
          <w:rFonts w:ascii="Courier" w:hAnsi="Courier" w:cs="Courier"/>
        </w:rPr>
        <w:t xml:space="preserve">Utah Code Ann. </w:t>
      </w:r>
      <w:r w:rsidR="0088364B">
        <w:rPr>
          <w:rFonts w:ascii="Courier" w:hAnsi="Courier" w:cs="Courier"/>
        </w:rPr>
        <w:sym w:font="WP TypographicSymbols" w:char="0027"/>
      </w:r>
      <w:r w:rsidR="0088364B">
        <w:rPr>
          <w:rFonts w:ascii="Courier" w:hAnsi="Courier" w:cs="Courier"/>
        </w:rPr>
        <w:t xml:space="preserve"> 33-8-35(2) (1994).</w:t>
      </w:r>
    </w:p>
    <w:p>
      <w:pPr>
        <w:tabs>
          <w:tab w:val="center" w:pos="4680"/>
        </w:tabs>
        <w:spacing w:line="480" w:lineRule="auto"/>
        <w:rPr>
          <w:rFonts w:ascii="Courier" w:hAnsi="Courier" w:cs="Courier"/>
        </w:rPr>
      </w:pPr>
      <w:r w:rsidR="0088364B">
        <w:rPr>
          <w:rFonts w:ascii="Courier" w:hAnsi="Courier" w:cs="Courier"/>
        </w:rPr>
        <w:tab/>
      </w:r>
      <w:r w:rsidR="0088364B">
        <w:rPr>
          <w:rFonts w:ascii="Courier" w:hAnsi="Courier" w:cs="Courier"/>
          <w:u w:val="single"/>
        </w:rPr>
        <w:t>STANDARD OF REVIEW</w:t>
      </w:r>
    </w:p>
    <w:p>
      <w:pPr>
        <w:spacing w:line="480" w:lineRule="auto"/>
        <w:ind w:firstLine="720"/>
        <w:rPr>
          <w:rFonts w:ascii="Courier" w:hAnsi="Courier" w:cs="Courier"/>
        </w:rPr>
      </w:pPr>
      <w:r w:rsidR="0088364B">
        <w:rPr>
          <w:rFonts w:ascii="Courier" w:hAnsi="Courier" w:cs="Courier"/>
        </w:rPr>
        <w:t xml:space="preserve">This is an appeal from a decision to grant the plaintiff's Motion for Summary Judgment according to </w:t>
      </w:r>
      <w:r w:rsidR="00BC7CAD">
        <w:rPr>
          <w:rFonts w:ascii="Courier" w:hAnsi="Courier" w:cs="Courier"/>
        </w:rPr>
        <w:fldChar w:fldCharType="begin"/>
      </w:r>
      <w:r w:rsidR="0088364B">
        <w:rPr>
          <w:rFonts w:ascii="Courier" w:hAnsi="Courier" w:cs="Courier"/>
        </w:rPr>
        <w:instrText>TA \s "Utah R. Civ. P. 56(a)" \c 1 \l "Utah R. Civ. P. 56(a)</w:instrText>
      </w:r>
      <w:r w:rsidR="0088364B">
        <w:instrText>"</w:instrText>
      </w:r>
      <w:r w:rsidR="00BC7CAD">
        <w:rPr>
          <w:rFonts w:ascii="Courier" w:hAnsi="Courier" w:cs="Courier"/>
        </w:rPr>
        <w:fldChar w:fldCharType="end"/>
      </w:r>
      <w:r w:rsidR="00BC7CAD">
        <w:rPr>
          <w:rFonts w:ascii="Courier" w:hAnsi="Courier" w:cs="Courier"/>
        </w:rPr>
        <w:fldChar w:fldCharType="begin"/>
      </w:r>
      <w:r w:rsidR="0088364B">
        <w:rPr>
          <w:rFonts w:ascii="Courier" w:hAnsi="Courier" w:cs="Courier"/>
        </w:rPr>
        <w:instrText>TA \s "Utah R. Civ. P. 56(a)" \c 1</w:instrText>
      </w:r>
      <w:r w:rsidR="00BC7CAD">
        <w:rPr>
          <w:rFonts w:ascii="Courier" w:hAnsi="Courier" w:cs="Courier"/>
        </w:rPr>
        <w:fldChar w:fldCharType="end"/>
      </w:r>
      <w:r w:rsidR="0088364B">
        <w:rPr>
          <w:rFonts w:ascii="Courier" w:hAnsi="Courier" w:cs="Courier"/>
        </w:rPr>
        <w:t>Utah R. Civ. P. 56(a). The district Court's decision is considered a matter of law.  The standard of review is based on the conclusions of law for correctness with the evidence in the light most favorable to the losing party.</w:t>
      </w:r>
    </w:p>
    <w:p/>
    <w:sectPr w:rsidR="00BC7CAD" w:rsidSect="0080451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WP TypographicSymbol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oNotTrackFormatting/>
  <w:defaultTabStop w:val="720"/>
  <w:noPunctuationKerning/>
  <w:characterSpacingControl w:val="doNotCompress"/>
  <w:compat/>
  <w:rsids>
    <w:rsidRoot w:val="00551556"/>
    <w:rsid w:val="000052D2"/>
    <w:rsid w:val="0039290A"/>
    <w:rsid w:val="004247D4"/>
    <w:rsid w:val="00444453"/>
    <w:rsid w:val="004B0D9D"/>
    <w:rsid w:val="00551556"/>
    <w:rsid w:val="0080451F"/>
    <w:rsid w:val="00874D18"/>
    <w:rsid w:val="0088364B"/>
    <w:rsid w:val="00922CCE"/>
    <w:rsid w:val="00BB0DC7"/>
    <w:rsid w:val="00BC7CAD"/>
    <w:rsid w:val="00D672C0"/>
    <w:rsid w:val="00E1359A"/>
    <w:rsid w:val="00F3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semiHidden="on" w:unhideWhenUsed="on" w:qFormat="on"/>
    <w:lsdException w:name="heading 4" w:semiHidden="on" w:unhideWhenUsed="on" w:qFormat="on"/>
    <w:lsdException w:name="heading 5" w:semiHidden="on" w:unhideWhenUsed="on" w:qFormat="on"/>
    <w:lsdException w:name="heading 6" w:semiHidden="on" w:unhideWhenUsed="on" w:qFormat="on"/>
    <w:lsdException w:name="heading 7" w:semiHidden="on" w:unhideWhenUsed="on" w:qFormat="on"/>
    <w:lsdException w:name="heading 8" w:semiHidden="on" w:unhideWhenUsed="on" w:qFormat="on"/>
    <w:lsdException w:name="heading 9" w:semiHidden="on" w:unhideWhenUsed="on" w:qFormat="on"/>
    <w:lsdException w:name="toc 1" w:semiHidden="on" w:unhideWhenUsed="on" w:qFormat="on"/>
    <w:lsdException w:name="toc 2" w:semiHidden="on" w:unhideWhenUsed="on" w:qFormat="on"/>
    <w:lsdException w:name="toc 3" w:semiHidden="on" w:unhideWhenUsed="on" w:qFormat="on"/>
    <w:lsdException w:name="toc 4" w:semiHidden="on" w:unhideWhenUsed="on" w:qFormat="on"/>
    <w:lsdException w:name="toc 5" w:semiHidden="on" w:unhideWhenUsed="on" w:qFormat="on"/>
    <w:lsdException w:name="toc 6" w:semiHidden="on" w:unhideWhenUsed="on" w:qFormat="on"/>
    <w:lsdException w:name="toc 7" w:semiHidden="on" w:unhideWhenUsed="on" w:qFormat="on"/>
    <w:lsdException w:name="toc 8" w:semiHidden="on" w:unhideWhenUsed="on" w:qFormat="on"/>
    <w:lsdException w:name="toc 9" w:semiHidden="on" w:unhideWhenUsed="on" w:qFormat="on"/>
    <w:lsdException w:name="caption" w:semiHidden="on" w:unhideWhenUsed="on" w:qFormat="on"/>
    <w:lsdException w:name="Title" w:qFormat="on"/>
    <w:lsdException w:name="Subtitle" w:qFormat="on"/>
    <w:lsdException w:name="Strong" w:qFormat="on"/>
    <w:lsdException w:name="Emphasis" w:qFormat="on"/>
    <w:lsdException w:name="Placeholder Text" w:semiHidden="on" w:uiPriority="99"/>
    <w:lsdException w:name="No Spacing" w:uiPriority="1" w:qFormat="on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qFormat/>
    <w:rsid w:val="0088364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899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uvsc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John Q Student</cp:lastModifiedBy>
  <cp:revision>4</cp:revision>
  <dcterms:created xsi:type="dcterms:W3CDTF">2006-10-14T08:20:00Z</dcterms:created>
  <dcterms:modified xsi:type="dcterms:W3CDTF">2006-10-20T04:14:00Z</dcterms:modified>
</cp:coreProperties>
</file>